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1C5" w:rsidRPr="002B4300" w:rsidRDefault="005371C5" w:rsidP="005371C5">
      <w:pPr>
        <w:pStyle w:val="NormalWeb"/>
        <w:spacing w:line="276" w:lineRule="auto"/>
        <w:jc w:val="both"/>
        <w:rPr>
          <w:rFonts w:asciiTheme="minorHAnsi" w:hAnsiTheme="minorHAnsi" w:cstheme="minorHAnsi"/>
          <w:sz w:val="28"/>
          <w:szCs w:val="28"/>
        </w:rPr>
      </w:pPr>
      <w:r w:rsidRPr="002B4300">
        <w:rPr>
          <w:rFonts w:asciiTheme="minorHAnsi" w:hAnsiTheme="minorHAnsi" w:cstheme="minorHAnsi"/>
          <w:b/>
          <w:sz w:val="28"/>
          <w:szCs w:val="28"/>
          <w:lang w:val="es-ES" w:eastAsia="es-CO"/>
        </w:rPr>
        <w:t xml:space="preserve">2.1.5 </w:t>
      </w:r>
      <w:r w:rsidRPr="002B4300">
        <w:rPr>
          <w:rFonts w:asciiTheme="minorHAnsi" w:hAnsiTheme="minorHAnsi" w:cstheme="minorHAnsi"/>
          <w:b/>
          <w:bCs/>
          <w:sz w:val="28"/>
          <w:szCs w:val="28"/>
        </w:rPr>
        <w:t>Resolución 2346 de 2007</w:t>
      </w:r>
    </w:p>
    <w:p w:rsidR="005371C5" w:rsidRPr="00D25D7C" w:rsidRDefault="005371C5" w:rsidP="005371C5">
      <w:pPr>
        <w:pStyle w:val="NormalWeb"/>
        <w:spacing w:line="276" w:lineRule="auto"/>
        <w:jc w:val="both"/>
        <w:rPr>
          <w:rFonts w:asciiTheme="minorHAnsi" w:hAnsiTheme="minorHAnsi" w:cstheme="minorHAnsi"/>
          <w:b/>
          <w:bCs/>
        </w:rPr>
      </w:pPr>
      <w:r w:rsidRPr="00D25D7C">
        <w:rPr>
          <w:rFonts w:asciiTheme="minorHAnsi" w:hAnsiTheme="minorHAnsi" w:cstheme="minorHAnsi"/>
          <w:b/>
          <w:bCs/>
        </w:rPr>
        <w:t>Por la cual se regula la práctica de evaluaciones médicas ocupacionales y el manejo y contenido de las historias clínicas ocupacionales.</w:t>
      </w:r>
    </w:p>
    <w:p w:rsidR="005371C5" w:rsidRPr="00D25D7C" w:rsidRDefault="005371C5" w:rsidP="005371C5">
      <w:pPr>
        <w:pStyle w:val="NormalWeb"/>
        <w:spacing w:line="276" w:lineRule="auto"/>
        <w:jc w:val="center"/>
        <w:rPr>
          <w:rFonts w:asciiTheme="minorHAnsi" w:hAnsiTheme="minorHAnsi" w:cstheme="minorHAnsi"/>
          <w:b/>
          <w:bCs/>
        </w:rPr>
      </w:pPr>
      <w:r w:rsidRPr="00D25D7C">
        <w:rPr>
          <w:rFonts w:asciiTheme="minorHAnsi" w:hAnsiTheme="minorHAnsi" w:cstheme="minorHAnsi"/>
          <w:b/>
          <w:bCs/>
        </w:rPr>
        <w:t>RESUELVE:</w:t>
      </w:r>
    </w:p>
    <w:p w:rsidR="005371C5" w:rsidRPr="00D25D7C" w:rsidRDefault="005371C5" w:rsidP="005371C5">
      <w:pPr>
        <w:pStyle w:val="NormalWeb"/>
        <w:spacing w:line="276" w:lineRule="auto"/>
        <w:jc w:val="center"/>
        <w:rPr>
          <w:rFonts w:asciiTheme="minorHAnsi" w:hAnsiTheme="minorHAnsi" w:cstheme="minorHAnsi"/>
          <w:b/>
          <w:bCs/>
        </w:rPr>
      </w:pPr>
      <w:r w:rsidRPr="00D25D7C">
        <w:rPr>
          <w:rFonts w:asciiTheme="minorHAnsi" w:hAnsiTheme="minorHAnsi" w:cstheme="minorHAnsi"/>
          <w:b/>
          <w:bCs/>
        </w:rPr>
        <w:t>CAPITULO I</w:t>
      </w:r>
    </w:p>
    <w:p w:rsidR="005371C5" w:rsidRPr="00D25D7C" w:rsidRDefault="005371C5" w:rsidP="005371C5">
      <w:pPr>
        <w:pStyle w:val="NormalWeb"/>
        <w:spacing w:line="276" w:lineRule="auto"/>
        <w:jc w:val="both"/>
        <w:rPr>
          <w:rFonts w:asciiTheme="minorHAnsi" w:hAnsiTheme="minorHAnsi" w:cstheme="minorHAnsi"/>
          <w:b/>
          <w:bCs/>
        </w:rPr>
      </w:pPr>
      <w:r w:rsidRPr="00D25D7C">
        <w:rPr>
          <w:rFonts w:asciiTheme="minorHAnsi" w:hAnsiTheme="minorHAnsi" w:cstheme="minorHAnsi"/>
          <w:b/>
          <w:bCs/>
        </w:rPr>
        <w:t>Disposiciones generales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Artículo 1°. </w:t>
      </w:r>
      <w:r w:rsidRPr="00D25D7C">
        <w:rPr>
          <w:rFonts w:asciiTheme="minorHAnsi" w:hAnsiTheme="minorHAnsi" w:cstheme="minorHAnsi"/>
          <w:i/>
          <w:iCs/>
        </w:rPr>
        <w:t xml:space="preserve">Campo de aplicación. </w:t>
      </w:r>
      <w:r w:rsidRPr="00D25D7C">
        <w:rPr>
          <w:rFonts w:asciiTheme="minorHAnsi" w:hAnsiTheme="minorHAnsi" w:cstheme="minorHAnsi"/>
        </w:rPr>
        <w:t>La presente resolución se aplica a todos los empleadores, empresas públicas o privadas, contratistas, subcontratistas, entidades administradoras de riesgos profesionales, personas naturales y jurídicas prestadoras o proveedoras de servicios de salud ocupacional, entidades promotoras de salud, instituciones prestadoras de servicios de salud y trabajadores independientes del territorio nacional.</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Artículo 2°. </w:t>
      </w:r>
      <w:r w:rsidRPr="00D25D7C">
        <w:rPr>
          <w:rFonts w:asciiTheme="minorHAnsi" w:hAnsiTheme="minorHAnsi" w:cstheme="minorHAnsi"/>
          <w:i/>
          <w:iCs/>
        </w:rPr>
        <w:t xml:space="preserve">Definiciones y siglas. </w:t>
      </w:r>
      <w:r w:rsidRPr="00D25D7C">
        <w:rPr>
          <w:rFonts w:asciiTheme="minorHAnsi" w:hAnsiTheme="minorHAnsi" w:cstheme="minorHAnsi"/>
        </w:rPr>
        <w:t>Para efecto de la presente resolución se consideran las siguientes definiciones y siglas: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 xml:space="preserve">A. </w:t>
      </w:r>
      <w:r w:rsidRPr="00D25D7C">
        <w:rPr>
          <w:rFonts w:asciiTheme="minorHAnsi" w:hAnsiTheme="minorHAnsi" w:cstheme="minorHAnsi"/>
          <w:b/>
          <w:bCs/>
        </w:rPr>
        <w:t>Definiciones: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Anamnesis: </w:t>
      </w:r>
      <w:r w:rsidRPr="00D25D7C">
        <w:rPr>
          <w:rFonts w:asciiTheme="minorHAnsi" w:hAnsiTheme="minorHAnsi" w:cstheme="minorHAnsi"/>
        </w:rPr>
        <w:t>Interrogatorio que se realiza a la persona en búsqueda de información acerca de datos generales, antecedentes, identificación de síntomas y signos, así como su evolución.</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Examen médico ocupacional: </w:t>
      </w:r>
      <w:r w:rsidRPr="00D25D7C">
        <w:rPr>
          <w:rFonts w:asciiTheme="minorHAnsi" w:hAnsiTheme="minorHAnsi" w:cstheme="minorHAnsi"/>
        </w:rPr>
        <w:t xml:space="preserve">Acto médico mediante el cual se interroga y examina a un trabajador, con el fin de monitorear la exposición a factores de riesgo y determinar la existencia de consecuencias en la persona por dicha exposición. Incluye anamnesis, examen físico completo con énfasis en el órgano o sistema blanco, análisis de pruebas clínicas y </w:t>
      </w:r>
      <w:proofErr w:type="spellStart"/>
      <w:r w:rsidRPr="00D25D7C">
        <w:rPr>
          <w:rFonts w:asciiTheme="minorHAnsi" w:hAnsiTheme="minorHAnsi" w:cstheme="minorHAnsi"/>
        </w:rPr>
        <w:t>paraclínicas</w:t>
      </w:r>
      <w:proofErr w:type="spellEnd"/>
      <w:r w:rsidRPr="00D25D7C">
        <w:rPr>
          <w:rFonts w:asciiTheme="minorHAnsi" w:hAnsiTheme="minorHAnsi" w:cstheme="minorHAnsi"/>
        </w:rPr>
        <w:t>, tales como: de laboratorio, imágenes diagnósticas, electrocardiograma, y su correlación entre ellos para emitir un diagnóstico y las recomendaciones.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Exposición a un factor de riesgo: </w:t>
      </w:r>
      <w:r w:rsidRPr="00D25D7C">
        <w:rPr>
          <w:rFonts w:asciiTheme="minorHAnsi" w:hAnsiTheme="minorHAnsi" w:cstheme="minorHAnsi"/>
        </w:rPr>
        <w:t>Para efectos de la presente resolución, se considera exposición a un factor de riesgo, la presencia del mismo en cualquier nivel de intensidad o dosis.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lastRenderedPageBreak/>
        <w:t xml:space="preserve">Índice Biológico de Exposición (BEI): </w:t>
      </w:r>
      <w:r w:rsidRPr="00D25D7C">
        <w:rPr>
          <w:rFonts w:asciiTheme="minorHAnsi" w:hAnsiTheme="minorHAnsi" w:cstheme="minorHAnsi"/>
        </w:rPr>
        <w:t>Es un valor límite de exposición biológica, es decir, un indicador de riesgo de encontrar efectos adversos en una persona ante determinado agente.</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Número de identificación CAS: </w:t>
      </w:r>
      <w:r w:rsidRPr="00D25D7C">
        <w:rPr>
          <w:rFonts w:asciiTheme="minorHAnsi" w:hAnsiTheme="minorHAnsi" w:cstheme="minorHAnsi"/>
        </w:rPr>
        <w:t xml:space="preserve">Corresponde al número de identificación de una sustancia química, asignado por </w:t>
      </w:r>
      <w:proofErr w:type="spellStart"/>
      <w:r w:rsidRPr="00D25D7C">
        <w:rPr>
          <w:rFonts w:asciiTheme="minorHAnsi" w:hAnsiTheme="minorHAnsi" w:cstheme="minorHAnsi"/>
        </w:rPr>
        <w:t>ChemicalAbstraceService</w:t>
      </w:r>
      <w:proofErr w:type="spellEnd"/>
      <w:r w:rsidRPr="00D25D7C">
        <w:rPr>
          <w:rFonts w:asciiTheme="minorHAnsi" w:hAnsiTheme="minorHAnsi" w:cstheme="minorHAnsi"/>
        </w:rPr>
        <w:t>.</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Órgano blanco: </w:t>
      </w:r>
      <w:r w:rsidRPr="00D25D7C">
        <w:rPr>
          <w:rFonts w:asciiTheme="minorHAnsi" w:hAnsiTheme="minorHAnsi" w:cstheme="minorHAnsi"/>
        </w:rPr>
        <w:t>Órgano al cual tiene afinidad un determinado elemento o sustancia y que es susceptible de daño o afección.</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Perfil del Cargo: </w:t>
      </w:r>
      <w:r w:rsidRPr="00D25D7C">
        <w:rPr>
          <w:rFonts w:asciiTheme="minorHAnsi" w:hAnsiTheme="minorHAnsi" w:cstheme="minorHAnsi"/>
        </w:rPr>
        <w:t>Conjunto de demandas físicas, mentales y condiciones específicas, determinadas por el empleador como requisitos para que una persona pueda realizar determinadas funciones o tareas.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Reintegro laboral: </w:t>
      </w:r>
      <w:r w:rsidRPr="00D25D7C">
        <w:rPr>
          <w:rFonts w:asciiTheme="minorHAnsi" w:hAnsiTheme="minorHAnsi" w:cstheme="minorHAnsi"/>
        </w:rPr>
        <w:t>Consiste en la actividad de reincorporación del trabajador al desempeño de una actividad laboral, con o sin modificaciones, en condiciones de competitividad, seguridad y confort, después de una incapacidad temporal o ausentismo, así como también actividades de reubicación laboral temporal o definitiva o reconversión de mano de obra.</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Resumen de Historia Clínica Ocupacional: </w:t>
      </w:r>
      <w:r w:rsidRPr="00D25D7C">
        <w:rPr>
          <w:rFonts w:asciiTheme="minorHAnsi" w:hAnsiTheme="minorHAnsi" w:cstheme="minorHAnsi"/>
        </w:rPr>
        <w:t>Es el documento que presenta, en forma breve, todos aquellos datos relevantes relacionados con antecedentes, eventos, procedimientos de diagnóstico, tratamiento y rehabilitación, en especial lo relacionado con su exposición a factores de riesgo, antecedentes de ocurrencia de eventos profesionales, así como de reintegro laboral, que ha presentado una persona en un determinado tiempo y que han sido registrados en la historia clínica ocupacional.</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Cancerígeno: </w:t>
      </w:r>
      <w:r w:rsidRPr="00D25D7C">
        <w:rPr>
          <w:rFonts w:asciiTheme="minorHAnsi" w:hAnsiTheme="minorHAnsi" w:cstheme="minorHAnsi"/>
        </w:rPr>
        <w:t>Efecto producido por algún tipo de agente, que induce o produce cáncer en la persona.</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Valoraciones o pruebas complementarias: </w:t>
      </w:r>
      <w:r w:rsidRPr="00D25D7C">
        <w:rPr>
          <w:rFonts w:asciiTheme="minorHAnsi" w:hAnsiTheme="minorHAnsi" w:cstheme="minorHAnsi"/>
        </w:rPr>
        <w:t xml:space="preserve">Son evaluaciones o exámenes clínicos o </w:t>
      </w:r>
      <w:proofErr w:type="spellStart"/>
      <w:r w:rsidRPr="00D25D7C">
        <w:rPr>
          <w:rFonts w:asciiTheme="minorHAnsi" w:hAnsiTheme="minorHAnsi" w:cstheme="minorHAnsi"/>
        </w:rPr>
        <w:t>paraclínicos</w:t>
      </w:r>
      <w:proofErr w:type="spellEnd"/>
      <w:r w:rsidRPr="00D25D7C">
        <w:rPr>
          <w:rFonts w:asciiTheme="minorHAnsi" w:hAnsiTheme="minorHAnsi" w:cstheme="minorHAnsi"/>
        </w:rPr>
        <w:t xml:space="preserve"> realizados para complementar un determinado estudio en la búsqueda o comprobación de un diagnóstico.</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 xml:space="preserve">B. </w:t>
      </w:r>
      <w:r w:rsidRPr="00D25D7C">
        <w:rPr>
          <w:rFonts w:asciiTheme="minorHAnsi" w:hAnsiTheme="minorHAnsi" w:cstheme="minorHAnsi"/>
          <w:b/>
          <w:bCs/>
        </w:rPr>
        <w:t>Siglas: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ACGIH (American </w:t>
      </w:r>
      <w:proofErr w:type="spellStart"/>
      <w:r w:rsidRPr="00D25D7C">
        <w:rPr>
          <w:rFonts w:asciiTheme="minorHAnsi" w:hAnsiTheme="minorHAnsi" w:cstheme="minorHAnsi"/>
          <w:b/>
          <w:bCs/>
        </w:rPr>
        <w:t>Conference</w:t>
      </w:r>
      <w:proofErr w:type="spellEnd"/>
      <w:r w:rsidRPr="00D25D7C">
        <w:rPr>
          <w:rFonts w:asciiTheme="minorHAnsi" w:hAnsiTheme="minorHAnsi" w:cstheme="minorHAnsi"/>
          <w:b/>
          <w:bCs/>
        </w:rPr>
        <w:t xml:space="preserve"> of </w:t>
      </w:r>
      <w:proofErr w:type="spellStart"/>
      <w:r w:rsidRPr="00D25D7C">
        <w:rPr>
          <w:rFonts w:asciiTheme="minorHAnsi" w:hAnsiTheme="minorHAnsi" w:cstheme="minorHAnsi"/>
          <w:b/>
          <w:bCs/>
        </w:rPr>
        <w:t>Govern</w:t>
      </w:r>
      <w:r>
        <w:rPr>
          <w:rFonts w:asciiTheme="minorHAnsi" w:hAnsiTheme="minorHAnsi" w:cstheme="minorHAnsi"/>
          <w:b/>
          <w:bCs/>
        </w:rPr>
        <w:t>a</w:t>
      </w:r>
      <w:r w:rsidRPr="00D25D7C">
        <w:rPr>
          <w:rFonts w:asciiTheme="minorHAnsi" w:hAnsiTheme="minorHAnsi" w:cstheme="minorHAnsi"/>
          <w:b/>
          <w:bCs/>
        </w:rPr>
        <w:t>mental</w:t>
      </w:r>
      <w:proofErr w:type="spellEnd"/>
      <w:r w:rsidRPr="00D25D7C">
        <w:rPr>
          <w:rFonts w:asciiTheme="minorHAnsi" w:hAnsiTheme="minorHAnsi" w:cstheme="minorHAnsi"/>
          <w:b/>
          <w:bCs/>
        </w:rPr>
        <w:t xml:space="preserve"> Industrial </w:t>
      </w:r>
      <w:proofErr w:type="spellStart"/>
      <w:r w:rsidRPr="00D25D7C">
        <w:rPr>
          <w:rFonts w:asciiTheme="minorHAnsi" w:hAnsiTheme="minorHAnsi" w:cstheme="minorHAnsi"/>
          <w:b/>
          <w:bCs/>
        </w:rPr>
        <w:t>Hygienist</w:t>
      </w:r>
      <w:proofErr w:type="spellEnd"/>
      <w:r w:rsidRPr="00D25D7C">
        <w:rPr>
          <w:rFonts w:asciiTheme="minorHAnsi" w:hAnsiTheme="minorHAnsi" w:cstheme="minorHAnsi"/>
          <w:b/>
          <w:bCs/>
        </w:rPr>
        <w:t xml:space="preserve">): </w:t>
      </w:r>
      <w:r w:rsidRPr="00D25D7C">
        <w:rPr>
          <w:rFonts w:asciiTheme="minorHAnsi" w:hAnsiTheme="minorHAnsi" w:cstheme="minorHAnsi"/>
        </w:rPr>
        <w:t xml:space="preserve">Conferencia Americana de Higienistas Industriales Gubernamentales de los Estados Unidos de América. Sociedad profesional dedicada al desarrollo de aspectos administrativos y </w:t>
      </w:r>
      <w:r w:rsidRPr="00D25D7C">
        <w:rPr>
          <w:rFonts w:asciiTheme="minorHAnsi" w:hAnsiTheme="minorHAnsi" w:cstheme="minorHAnsi"/>
        </w:rPr>
        <w:lastRenderedPageBreak/>
        <w:t>técnicos de la protección de los trabajadores. Una de sus tareas principales es la recomendación de valores límites permisibles.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CDC (Center </w:t>
      </w:r>
      <w:proofErr w:type="spellStart"/>
      <w:r w:rsidRPr="00D25D7C">
        <w:rPr>
          <w:rFonts w:asciiTheme="minorHAnsi" w:hAnsiTheme="minorHAnsi" w:cstheme="minorHAnsi"/>
          <w:b/>
          <w:bCs/>
        </w:rPr>
        <w:t>forDisease</w:t>
      </w:r>
      <w:proofErr w:type="spellEnd"/>
      <w:r w:rsidRPr="00D25D7C">
        <w:rPr>
          <w:rFonts w:asciiTheme="minorHAnsi" w:hAnsiTheme="minorHAnsi" w:cstheme="minorHAnsi"/>
          <w:b/>
          <w:bCs/>
        </w:rPr>
        <w:t xml:space="preserve"> Control and </w:t>
      </w:r>
      <w:proofErr w:type="spellStart"/>
      <w:r w:rsidRPr="00D25D7C">
        <w:rPr>
          <w:rFonts w:asciiTheme="minorHAnsi" w:hAnsiTheme="minorHAnsi" w:cstheme="minorHAnsi"/>
          <w:b/>
          <w:bCs/>
        </w:rPr>
        <w:t>Prevention</w:t>
      </w:r>
      <w:proofErr w:type="spellEnd"/>
      <w:r w:rsidRPr="00D25D7C">
        <w:rPr>
          <w:rFonts w:asciiTheme="minorHAnsi" w:hAnsiTheme="minorHAnsi" w:cstheme="minorHAnsi"/>
          <w:b/>
          <w:bCs/>
        </w:rPr>
        <w:t xml:space="preserve">): </w:t>
      </w:r>
      <w:r w:rsidRPr="00D25D7C">
        <w:rPr>
          <w:rFonts w:asciiTheme="minorHAnsi" w:hAnsiTheme="minorHAnsi" w:cstheme="minorHAnsi"/>
        </w:rPr>
        <w:t>Agencia del Departamento de Salud y Servicios Humanos de los Estados Unidos. Responsables del desarrollo y aplicación de la prevención y control de enfermedades, la salud ambiental y las actividades de educación y promoción de la salud.</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IARC (International </w:t>
      </w:r>
      <w:proofErr w:type="spellStart"/>
      <w:r w:rsidRPr="00D25D7C">
        <w:rPr>
          <w:rFonts w:asciiTheme="minorHAnsi" w:hAnsiTheme="minorHAnsi" w:cstheme="minorHAnsi"/>
          <w:b/>
          <w:bCs/>
        </w:rPr>
        <w:t>Agency</w:t>
      </w:r>
      <w:proofErr w:type="spellEnd"/>
      <w:r w:rsidRPr="00D25D7C">
        <w:rPr>
          <w:rFonts w:asciiTheme="minorHAnsi" w:hAnsiTheme="minorHAnsi" w:cstheme="minorHAnsi"/>
          <w:b/>
          <w:bCs/>
        </w:rPr>
        <w:t xml:space="preserve"> </w:t>
      </w:r>
      <w:proofErr w:type="spellStart"/>
      <w:r w:rsidRPr="00D25D7C">
        <w:rPr>
          <w:rFonts w:asciiTheme="minorHAnsi" w:hAnsiTheme="minorHAnsi" w:cstheme="minorHAnsi"/>
          <w:b/>
          <w:bCs/>
        </w:rPr>
        <w:t>forResearchonCancer</w:t>
      </w:r>
      <w:proofErr w:type="spellEnd"/>
      <w:r w:rsidRPr="00D25D7C">
        <w:rPr>
          <w:rFonts w:asciiTheme="minorHAnsi" w:hAnsiTheme="minorHAnsi" w:cstheme="minorHAnsi"/>
          <w:b/>
          <w:bCs/>
        </w:rPr>
        <w:t xml:space="preserve">): </w:t>
      </w:r>
      <w:r w:rsidRPr="00D25D7C">
        <w:rPr>
          <w:rFonts w:asciiTheme="minorHAnsi" w:hAnsiTheme="minorHAnsi" w:cstheme="minorHAnsi"/>
        </w:rPr>
        <w:t>Agencia que hace parte de la Organización Mundial de la Salud que define las propiedades cancerígenas de las sustancias, su clasificación y posibles mecanismos de generación.</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CAS (</w:t>
      </w:r>
      <w:proofErr w:type="spellStart"/>
      <w:r w:rsidRPr="00D25D7C">
        <w:rPr>
          <w:rFonts w:asciiTheme="minorHAnsi" w:hAnsiTheme="minorHAnsi" w:cstheme="minorHAnsi"/>
          <w:b/>
          <w:bCs/>
        </w:rPr>
        <w:t>ChemicalAbstracsServices</w:t>
      </w:r>
      <w:proofErr w:type="spellEnd"/>
      <w:r w:rsidRPr="00D25D7C">
        <w:rPr>
          <w:rFonts w:asciiTheme="minorHAnsi" w:hAnsiTheme="minorHAnsi" w:cstheme="minorHAnsi"/>
          <w:b/>
          <w:bCs/>
        </w:rPr>
        <w:t xml:space="preserve">): </w:t>
      </w:r>
      <w:r w:rsidRPr="00D25D7C">
        <w:rPr>
          <w:rFonts w:asciiTheme="minorHAnsi" w:hAnsiTheme="minorHAnsi" w:cstheme="minorHAnsi"/>
        </w:rPr>
        <w:t>Organización científica de los Estados Unidos de América, que crea y distribuye información sobre el medio ambiente para la investigación científica.</w:t>
      </w:r>
    </w:p>
    <w:p w:rsidR="005371C5" w:rsidRPr="00D25D7C" w:rsidRDefault="005371C5" w:rsidP="005371C5">
      <w:pPr>
        <w:pStyle w:val="NormalWeb"/>
        <w:spacing w:line="276" w:lineRule="auto"/>
        <w:jc w:val="center"/>
        <w:rPr>
          <w:rFonts w:asciiTheme="minorHAnsi" w:hAnsiTheme="minorHAnsi" w:cstheme="minorHAnsi"/>
          <w:b/>
          <w:bCs/>
        </w:rPr>
      </w:pPr>
      <w:r w:rsidRPr="00D25D7C">
        <w:rPr>
          <w:rFonts w:asciiTheme="minorHAnsi" w:hAnsiTheme="minorHAnsi" w:cstheme="minorHAnsi"/>
          <w:b/>
          <w:bCs/>
        </w:rPr>
        <w:t>CAPITULO II</w:t>
      </w:r>
    </w:p>
    <w:p w:rsidR="005371C5" w:rsidRPr="00D25D7C" w:rsidRDefault="005371C5" w:rsidP="005371C5">
      <w:pPr>
        <w:pStyle w:val="NormalWeb"/>
        <w:spacing w:line="276" w:lineRule="auto"/>
        <w:jc w:val="center"/>
        <w:rPr>
          <w:rFonts w:asciiTheme="minorHAnsi" w:hAnsiTheme="minorHAnsi" w:cstheme="minorHAnsi"/>
          <w:b/>
          <w:bCs/>
        </w:rPr>
      </w:pPr>
      <w:r w:rsidRPr="00D25D7C">
        <w:rPr>
          <w:rFonts w:asciiTheme="minorHAnsi" w:hAnsiTheme="minorHAnsi" w:cstheme="minorHAnsi"/>
          <w:b/>
          <w:bCs/>
        </w:rPr>
        <w:t>Evaluaciones médicas ocupacionales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Artículo 3°. </w:t>
      </w:r>
      <w:r w:rsidRPr="00D25D7C">
        <w:rPr>
          <w:rFonts w:asciiTheme="minorHAnsi" w:hAnsiTheme="minorHAnsi" w:cstheme="minorHAnsi"/>
          <w:i/>
          <w:iCs/>
        </w:rPr>
        <w:t xml:space="preserve">Tipos de evaluaciones médicas ocupacionales. </w:t>
      </w:r>
      <w:r w:rsidRPr="00D25D7C">
        <w:rPr>
          <w:rFonts w:asciiTheme="minorHAnsi" w:hAnsiTheme="minorHAnsi" w:cstheme="minorHAnsi"/>
        </w:rPr>
        <w:t xml:space="preserve">Las evaluaciones médicas ocupacionales que </w:t>
      </w:r>
      <w:proofErr w:type="gramStart"/>
      <w:r w:rsidRPr="00D25D7C">
        <w:rPr>
          <w:rFonts w:asciiTheme="minorHAnsi" w:hAnsiTheme="minorHAnsi" w:cstheme="minorHAnsi"/>
        </w:rPr>
        <w:t>debe</w:t>
      </w:r>
      <w:proofErr w:type="gramEnd"/>
      <w:r w:rsidRPr="00D25D7C">
        <w:rPr>
          <w:rFonts w:asciiTheme="minorHAnsi" w:hAnsiTheme="minorHAnsi" w:cstheme="minorHAnsi"/>
        </w:rPr>
        <w:t xml:space="preserve"> realizar el empleador público y privado en forma obligatoria son como mínimo, las siguientes: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 xml:space="preserve">1. Evaluación médica </w:t>
      </w:r>
      <w:proofErr w:type="spellStart"/>
      <w:r w:rsidRPr="00D25D7C">
        <w:rPr>
          <w:rFonts w:asciiTheme="minorHAnsi" w:hAnsiTheme="minorHAnsi" w:cstheme="minorHAnsi"/>
        </w:rPr>
        <w:t>preocupacional</w:t>
      </w:r>
      <w:proofErr w:type="spellEnd"/>
      <w:r w:rsidRPr="00D25D7C">
        <w:rPr>
          <w:rFonts w:asciiTheme="minorHAnsi" w:hAnsiTheme="minorHAnsi" w:cstheme="minorHAnsi"/>
        </w:rPr>
        <w:t xml:space="preserve"> o de </w:t>
      </w:r>
      <w:proofErr w:type="spellStart"/>
      <w:r w:rsidRPr="00D25D7C">
        <w:rPr>
          <w:rFonts w:asciiTheme="minorHAnsi" w:hAnsiTheme="minorHAnsi" w:cstheme="minorHAnsi"/>
        </w:rPr>
        <w:t>preingreso</w:t>
      </w:r>
      <w:proofErr w:type="spellEnd"/>
      <w:r w:rsidRPr="00D25D7C">
        <w:rPr>
          <w:rFonts w:asciiTheme="minorHAnsi" w:hAnsiTheme="minorHAnsi" w:cstheme="minorHAnsi"/>
        </w:rPr>
        <w:t>.</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2. Evaluaciones médicas ocupacionales periódicas (programadas o por cambios de ocupación).</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 xml:space="preserve">3. Evaluación médica </w:t>
      </w:r>
      <w:proofErr w:type="spellStart"/>
      <w:r w:rsidRPr="00D25D7C">
        <w:rPr>
          <w:rFonts w:asciiTheme="minorHAnsi" w:hAnsiTheme="minorHAnsi" w:cstheme="minorHAnsi"/>
        </w:rPr>
        <w:t>posocupacional</w:t>
      </w:r>
      <w:proofErr w:type="spellEnd"/>
      <w:r w:rsidRPr="00D25D7C">
        <w:rPr>
          <w:rFonts w:asciiTheme="minorHAnsi" w:hAnsiTheme="minorHAnsi" w:cstheme="minorHAnsi"/>
        </w:rPr>
        <w:t xml:space="preserve"> o de egreso.</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 xml:space="preserve">El empleador deberá ordenar la realización de otro tipo de evaluaciones médicas ocupacionales, tales como </w:t>
      </w:r>
      <w:proofErr w:type="spellStart"/>
      <w:r w:rsidRPr="00D25D7C">
        <w:rPr>
          <w:rFonts w:asciiTheme="minorHAnsi" w:hAnsiTheme="minorHAnsi" w:cstheme="minorHAnsi"/>
        </w:rPr>
        <w:t>posincapacidad</w:t>
      </w:r>
      <w:proofErr w:type="spellEnd"/>
      <w:r w:rsidRPr="00D25D7C">
        <w:rPr>
          <w:rFonts w:asciiTheme="minorHAnsi" w:hAnsiTheme="minorHAnsi" w:cstheme="minorHAnsi"/>
        </w:rPr>
        <w:t xml:space="preserve"> o por reintegro, para identificar condiciones de salud que puedan verse agravadas o que puedan interferir en la labor o afectar a terceros, en razón de situaciones particulares.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Parágrafo. </w:t>
      </w:r>
      <w:r w:rsidRPr="00D25D7C">
        <w:rPr>
          <w:rFonts w:asciiTheme="minorHAnsi" w:hAnsiTheme="minorHAnsi" w:cstheme="minorHAnsi"/>
        </w:rPr>
        <w:t>Las evaluaciones médicas ocupacionales a que se refiere la presente resolución, hacen parte del programa de salud ocupacional, de los sistemas de gestión que desarrolle el empleador como parte de la promoción de la salud de los trabajadores y de los mecanismos de prevención y control de alteraciones de la salud.</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lastRenderedPageBreak/>
        <w:t xml:space="preserve">Artículo 4°. </w:t>
      </w:r>
      <w:r w:rsidRPr="00D25D7C">
        <w:rPr>
          <w:rFonts w:asciiTheme="minorHAnsi" w:hAnsiTheme="minorHAnsi" w:cstheme="minorHAnsi"/>
          <w:i/>
          <w:iCs/>
        </w:rPr>
        <w:t xml:space="preserve">Evaluaciones médicas </w:t>
      </w:r>
      <w:proofErr w:type="spellStart"/>
      <w:r w:rsidRPr="00D25D7C">
        <w:rPr>
          <w:rFonts w:asciiTheme="minorHAnsi" w:hAnsiTheme="minorHAnsi" w:cstheme="minorHAnsi"/>
          <w:i/>
          <w:iCs/>
        </w:rPr>
        <w:t>preocupacionales</w:t>
      </w:r>
      <w:proofErr w:type="spellEnd"/>
      <w:r w:rsidRPr="00D25D7C">
        <w:rPr>
          <w:rFonts w:asciiTheme="minorHAnsi" w:hAnsiTheme="minorHAnsi" w:cstheme="minorHAnsi"/>
          <w:i/>
          <w:iCs/>
        </w:rPr>
        <w:t xml:space="preserve"> o de </w:t>
      </w:r>
      <w:proofErr w:type="spellStart"/>
      <w:r w:rsidRPr="00D25D7C">
        <w:rPr>
          <w:rFonts w:asciiTheme="minorHAnsi" w:hAnsiTheme="minorHAnsi" w:cstheme="minorHAnsi"/>
          <w:i/>
          <w:iCs/>
        </w:rPr>
        <w:t>preingreso</w:t>
      </w:r>
      <w:proofErr w:type="spellEnd"/>
      <w:r w:rsidRPr="00D25D7C">
        <w:rPr>
          <w:rFonts w:asciiTheme="minorHAnsi" w:hAnsiTheme="minorHAnsi" w:cstheme="minorHAnsi"/>
          <w:i/>
          <w:iCs/>
        </w:rPr>
        <w:t xml:space="preserve">. </w:t>
      </w:r>
      <w:r w:rsidRPr="00D25D7C">
        <w:rPr>
          <w:rFonts w:asciiTheme="minorHAnsi" w:hAnsiTheme="minorHAnsi" w:cstheme="minorHAnsi"/>
        </w:rPr>
        <w:t>Son aquellas que se realizan para determinar las condiciones de salud física, mental y social del trabajador antes de su contratación, en función de las condiciones de trabajo a las que estaría expuesto, acorde con los requerimientos de la tarea y perfil del cargo.</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El objetivo es determinar la aptitud del trabajador para desempeñar en forma eficiente las labores sin perjuicio de su salud o la de terceros, comparando las demandas del oficio para el cual se desea contratar con sus capacidades físicas y mentales; establecer la existencia de restricciones que ameriten alguna condición sujeta a modificación, e identificar condiciones de salud que estando presentes en el trabajador, puedan agravarse en desarrollo del trabajo.</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 xml:space="preserve">El empleador tiene la obligación de informar al médico que realice las evaluaciones médicas </w:t>
      </w:r>
      <w:proofErr w:type="spellStart"/>
      <w:r w:rsidRPr="00D25D7C">
        <w:rPr>
          <w:rFonts w:asciiTheme="minorHAnsi" w:hAnsiTheme="minorHAnsi" w:cstheme="minorHAnsi"/>
        </w:rPr>
        <w:t>preocupacionales</w:t>
      </w:r>
      <w:proofErr w:type="spellEnd"/>
      <w:r w:rsidRPr="00D25D7C">
        <w:rPr>
          <w:rFonts w:asciiTheme="minorHAnsi" w:hAnsiTheme="minorHAnsi" w:cstheme="minorHAnsi"/>
        </w:rPr>
        <w:t>, sobre los perfiles del cargo describiendo en forma breve las tareas y el medio en el que se desarrollará su labor.</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 xml:space="preserve">En el caso de que se realice la contratación correspondiente, el empleador deberá adaptar las condiciones de trabajo y medio laboral según las recomendaciones sugeridas en el reporte o certificado resultante de la evaluación médica </w:t>
      </w:r>
      <w:proofErr w:type="spellStart"/>
      <w:r w:rsidRPr="00D25D7C">
        <w:rPr>
          <w:rFonts w:asciiTheme="minorHAnsi" w:hAnsiTheme="minorHAnsi" w:cstheme="minorHAnsi"/>
        </w:rPr>
        <w:t>preocupacional</w:t>
      </w:r>
      <w:proofErr w:type="spellEnd"/>
      <w:r w:rsidRPr="00D25D7C">
        <w:rPr>
          <w:rFonts w:asciiTheme="minorHAnsi" w:hAnsiTheme="minorHAnsi" w:cstheme="minorHAnsi"/>
        </w:rPr>
        <w:t>.</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Parágrafo. </w:t>
      </w:r>
      <w:r w:rsidRPr="00D25D7C">
        <w:rPr>
          <w:rFonts w:asciiTheme="minorHAnsi" w:hAnsiTheme="minorHAnsi" w:cstheme="minorHAnsi"/>
        </w:rPr>
        <w:t>El médico debe respetar la reserva de la historia clínica ocupacional y sólo remitirá al empleador el certificado médico, indicando las restricciones existentes y las recomendaciones o condiciones que se requiere adaptar para que el trabajador pueda desempeñar la labor.</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b/>
          <w:bCs/>
        </w:rPr>
        <w:t xml:space="preserve">Artículo 5°. </w:t>
      </w:r>
      <w:r w:rsidRPr="00D25D7C">
        <w:rPr>
          <w:rFonts w:asciiTheme="minorHAnsi" w:hAnsiTheme="minorHAnsi" w:cstheme="minorHAnsi"/>
          <w:i/>
          <w:iCs/>
        </w:rPr>
        <w:t xml:space="preserve">Evaluaciones médicas ocupacionales periódicas. </w:t>
      </w:r>
      <w:r w:rsidRPr="00D25D7C">
        <w:rPr>
          <w:rFonts w:asciiTheme="minorHAnsi" w:hAnsiTheme="minorHAnsi" w:cstheme="minorHAnsi"/>
        </w:rPr>
        <w:t>Las evaluaciones médicas ocupacionales periódicas se clasifican en programadas y por cambio de ocupación.</w:t>
      </w:r>
    </w:p>
    <w:p w:rsidR="005371C5" w:rsidRPr="004509C9" w:rsidRDefault="005371C5" w:rsidP="005371C5">
      <w:pPr>
        <w:pStyle w:val="NormalWeb"/>
        <w:spacing w:line="276" w:lineRule="auto"/>
        <w:jc w:val="both"/>
        <w:rPr>
          <w:rFonts w:asciiTheme="minorHAnsi" w:hAnsiTheme="minorHAnsi" w:cstheme="minorHAnsi"/>
          <w:b/>
        </w:rPr>
      </w:pPr>
      <w:r w:rsidRPr="004509C9">
        <w:rPr>
          <w:rFonts w:asciiTheme="minorHAnsi" w:hAnsiTheme="minorHAnsi" w:cstheme="minorHAnsi"/>
          <w:b/>
        </w:rPr>
        <w:t xml:space="preserve">A. </w:t>
      </w:r>
      <w:r w:rsidRPr="004509C9">
        <w:rPr>
          <w:rFonts w:asciiTheme="minorHAnsi" w:hAnsiTheme="minorHAnsi" w:cstheme="minorHAnsi"/>
          <w:b/>
          <w:bCs/>
        </w:rPr>
        <w:t>Evaluaciones médicas periódicas programadas</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Se realizan con el fin de monitorear la exposición a factores de riesgo e identificar en forma precoz, posibles alteraciones temporales, permanentes o agravadas del estado de salud del trabajador, ocasionadas por la labor o por la exposición al medio ambiente de trabajo. Así mismo, para detectar enfermedades de origen común, con el fin de establecer un manejo preventivo.</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 xml:space="preserve">Dichas evaluaciones deben ser realizadas de acuerdo con el tipo, magnitud y frecuencia de exposición a cada factor de riesgo, así como al estado de salud del trabajador. Los criterios, métodos, procedimientos de las evaluaciones médicas y la correspondiente interpretación de resultados, deberán estar previamente definidos y técnicamente </w:t>
      </w:r>
      <w:r w:rsidRPr="00D25D7C">
        <w:rPr>
          <w:rFonts w:asciiTheme="minorHAnsi" w:hAnsiTheme="minorHAnsi" w:cstheme="minorHAnsi"/>
        </w:rPr>
        <w:lastRenderedPageBreak/>
        <w:t>justificados en los sistemas de vigilancia epidemiológica, programas de salud ocupacional o sistemas de gestión, según sea el caso.</w:t>
      </w:r>
    </w:p>
    <w:p w:rsidR="005371C5" w:rsidRPr="004509C9" w:rsidRDefault="005371C5" w:rsidP="005371C5">
      <w:pPr>
        <w:pStyle w:val="NormalWeb"/>
        <w:spacing w:line="276" w:lineRule="auto"/>
        <w:jc w:val="both"/>
        <w:rPr>
          <w:rFonts w:asciiTheme="minorHAnsi" w:hAnsiTheme="minorHAnsi" w:cstheme="minorHAnsi"/>
          <w:b/>
        </w:rPr>
      </w:pPr>
      <w:r w:rsidRPr="004509C9">
        <w:rPr>
          <w:rFonts w:asciiTheme="minorHAnsi" w:hAnsiTheme="minorHAnsi" w:cstheme="minorHAnsi"/>
          <w:b/>
        </w:rPr>
        <w:t xml:space="preserve">B. </w:t>
      </w:r>
      <w:r w:rsidRPr="004509C9">
        <w:rPr>
          <w:rFonts w:asciiTheme="minorHAnsi" w:hAnsiTheme="minorHAnsi" w:cstheme="minorHAnsi"/>
          <w:b/>
          <w:bCs/>
        </w:rPr>
        <w:t>Evaluaciones médicas por cambios de ocupación</w:t>
      </w:r>
    </w:p>
    <w:p w:rsidR="005371C5" w:rsidRPr="00D25D7C" w:rsidRDefault="005371C5" w:rsidP="005371C5">
      <w:pPr>
        <w:pStyle w:val="NormalWeb"/>
        <w:spacing w:line="276" w:lineRule="auto"/>
        <w:jc w:val="both"/>
        <w:rPr>
          <w:rFonts w:asciiTheme="minorHAnsi" w:hAnsiTheme="minorHAnsi" w:cstheme="minorHAnsi"/>
        </w:rPr>
      </w:pPr>
      <w:r w:rsidRPr="00D25D7C">
        <w:rPr>
          <w:rFonts w:asciiTheme="minorHAnsi" w:hAnsiTheme="minorHAnsi" w:cstheme="minorHAnsi"/>
        </w:rPr>
        <w:t>El empleador tiene la responsabilidad de realizar evaluaciones médicas al trabajador cada vez que este cambie de ocupación y ello implique cambio de medio ambiente laboral, de funciones, tareas o exposición a nuevos o mayores factores de riesgo, en los que detecte un incremento de su magnitud, intensidad o frecuencia. En todo caso, dichas evaluaciones deberán responder a lo establecido en el Sistema de Vigilancia Epidemiológica, programa de salud ocupacional o sistemas de gestión.</w:t>
      </w:r>
    </w:p>
    <w:p w:rsidR="005371C5" w:rsidRPr="002B4300" w:rsidRDefault="005371C5" w:rsidP="005371C5">
      <w:pPr>
        <w:jc w:val="both"/>
        <w:rPr>
          <w:rFonts w:cstheme="minorHAnsi"/>
          <w:b/>
          <w:sz w:val="24"/>
          <w:szCs w:val="24"/>
        </w:rPr>
      </w:pPr>
      <w:r w:rsidRPr="002B4300">
        <w:rPr>
          <w:rFonts w:cstheme="minorHAnsi"/>
          <w:b/>
          <w:sz w:val="24"/>
          <w:szCs w:val="24"/>
        </w:rPr>
        <w:t xml:space="preserve">Para mayor información ingresa a </w:t>
      </w:r>
      <w:hyperlink r:id="rId4" w:history="1">
        <w:r w:rsidRPr="007709E4">
          <w:rPr>
            <w:rStyle w:val="Hipervnculo"/>
            <w:rFonts w:cstheme="minorHAnsi"/>
            <w:b/>
            <w:sz w:val="24"/>
            <w:szCs w:val="24"/>
          </w:rPr>
          <w:t>www.minsalud.gov.co</w:t>
        </w:r>
      </w:hyperlink>
      <w:r w:rsidRPr="002B4300">
        <w:rPr>
          <w:rFonts w:cstheme="minorHAnsi"/>
          <w:b/>
          <w:sz w:val="24"/>
          <w:szCs w:val="24"/>
        </w:rPr>
        <w:t>.</w:t>
      </w:r>
      <w:r w:rsidRPr="004509C9">
        <w:rPr>
          <w:rFonts w:cstheme="minorHAnsi"/>
          <w:b/>
          <w:sz w:val="24"/>
          <w:szCs w:val="24"/>
          <w:highlight w:val="yellow"/>
        </w:rPr>
        <w:t>Crear vínculo</w:t>
      </w:r>
    </w:p>
    <w:p w:rsidR="004550D6" w:rsidRDefault="004550D6"/>
    <w:sectPr w:rsidR="004550D6" w:rsidSect="004550D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5371C5"/>
    <w:rsid w:val="001A3D1E"/>
    <w:rsid w:val="004550D6"/>
    <w:rsid w:val="004E0551"/>
    <w:rsid w:val="005371C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1C5"/>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371C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5371C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salud.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1359</Words>
  <Characters>7477</Characters>
  <Application>Microsoft Office Word</Application>
  <DocSecurity>0</DocSecurity>
  <Lines>62</Lines>
  <Paragraphs>17</Paragraphs>
  <ScaleCrop>false</ScaleCrop>
  <Company/>
  <LinksUpToDate>false</LinksUpToDate>
  <CharactersWithSpaces>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Comfandi</dc:creator>
  <cp:lastModifiedBy>Comfandi</cp:lastModifiedBy>
  <cp:revision>1</cp:revision>
  <dcterms:created xsi:type="dcterms:W3CDTF">2014-07-07T18:54:00Z</dcterms:created>
  <dcterms:modified xsi:type="dcterms:W3CDTF">2014-07-07T18:54:00Z</dcterms:modified>
</cp:coreProperties>
</file>